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05A" w:rsidRDefault="0098705A">
      <w:pPr>
        <w:spacing w:after="0" w:line="240" w:lineRule="auto"/>
        <w:rPr>
          <w:sz w:val="24"/>
        </w:rPr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1"/>
        <w:gridCol w:w="7181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359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before="170" w:after="0" w:line="240" w:lineRule="auto"/>
              <w:jc w:val="center"/>
            </w:pPr>
            <w:bookmarkStart w:id="0" w:name="d21e25"/>
            <w:bookmarkStart w:id="1" w:name="d21e23"/>
            <w:bookmarkStart w:id="2" w:name="d21e16"/>
            <w:bookmarkStart w:id="3" w:name="d21e14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1440000" cy="1936410"/>
                  <wp:effectExtent l="0" t="0" r="0" b="0"/>
                  <wp:docPr id="1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0"/>
        <w:bookmarkEnd w:id="1"/>
        <w:tc>
          <w:tcPr>
            <w:tcW w:w="7181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</w:pPr>
            <w:r>
              <w:rPr>
                <w:rFonts w:ascii="Arial" w:hAnsi="Arial"/>
                <w:color w:val="000000"/>
                <w:sz w:val="17"/>
              </w:rPr>
              <w:t>Este regulador de presión es capaz de reducir y estabilizar automáticamente la presión del fluido aguas abajo a un valor constante predetermi</w:t>
            </w:r>
            <w:bookmarkStart w:id="4" w:name="_GoBack"/>
            <w:bookmarkEnd w:id="4"/>
            <w:r>
              <w:rPr>
                <w:rFonts w:ascii="Arial" w:hAnsi="Arial"/>
                <w:color w:val="000000"/>
                <w:sz w:val="17"/>
              </w:rPr>
              <w:t xml:space="preserve">nado con independencia de las variaciones de presión y caudal </w:t>
            </w:r>
            <w:r>
              <w:rPr>
                <w:rFonts w:ascii="Arial" w:hAnsi="Arial"/>
                <w:color w:val="000000"/>
                <w:sz w:val="17"/>
              </w:rPr>
              <w:t>existentes aguas arriba.</w:t>
            </w:r>
          </w:p>
          <w:p w:rsidR="0098705A" w:rsidRDefault="00DE4443">
            <w:pPr>
              <w:spacing w:after="0" w:line="240" w:lineRule="auto"/>
            </w:pPr>
            <w:r>
              <w:rPr>
                <w:rFonts w:ascii="Arial" w:hAnsi="Arial"/>
                <w:color w:val="000000"/>
                <w:sz w:val="17"/>
              </w:rPr>
              <w:t xml:space="preserve">La válvula reductora de presión modelo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DRVD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 xml:space="preserve"> está destinada a redes de pequeño y medio diámetro.</w:t>
            </w:r>
          </w:p>
          <w:p w:rsidR="0098705A" w:rsidRDefault="00DE4443">
            <w:pPr>
              <w:spacing w:after="0" w:line="240" w:lineRule="auto"/>
            </w:pPr>
            <w:r>
              <w:rPr>
                <w:rFonts w:ascii="Arial" w:hAnsi="Arial"/>
                <w:color w:val="000000"/>
                <w:sz w:val="17"/>
              </w:rPr>
              <w:t xml:space="preserve">Los reductores-estabilizadores de presión están disponibles de </w:t>
            </w:r>
            <w:r>
              <w:rPr>
                <w:rFonts w:ascii="Arial" w:hAnsi="Arial"/>
                <w:b/>
                <w:color w:val="000000"/>
                <w:sz w:val="17"/>
              </w:rPr>
              <w:t xml:space="preserve">DN 50 a 200 en </w:t>
            </w:r>
            <w:proofErr w:type="spellStart"/>
            <w:r>
              <w:rPr>
                <w:rFonts w:ascii="Arial" w:hAnsi="Arial"/>
                <w:b/>
                <w:color w:val="000000"/>
                <w:sz w:val="17"/>
              </w:rPr>
              <w:t>PFA</w:t>
            </w:r>
            <w:proofErr w:type="spellEnd"/>
            <w:r>
              <w:rPr>
                <w:rFonts w:ascii="Arial" w:hAnsi="Arial"/>
                <w:b/>
                <w:color w:val="000000"/>
                <w:sz w:val="17"/>
              </w:rPr>
              <w:t xml:space="preserve"> 16 bar.</w:t>
            </w:r>
          </w:p>
          <w:p w:rsidR="0098705A" w:rsidRDefault="00DE4443">
            <w:pPr>
              <w:spacing w:after="0" w:line="240" w:lineRule="auto"/>
            </w:pPr>
            <w:r>
              <w:rPr>
                <w:rFonts w:ascii="Arial" w:hAnsi="Arial"/>
                <w:b/>
                <w:color w:val="000000"/>
                <w:sz w:val="17"/>
              </w:rPr>
              <w:t xml:space="preserve">Regulación de presión aguas abajo de 1,5 a 6 </w:t>
            </w:r>
            <w:r>
              <w:rPr>
                <w:rFonts w:ascii="Arial" w:hAnsi="Arial"/>
                <w:b/>
                <w:color w:val="000000"/>
                <w:sz w:val="17"/>
              </w:rPr>
              <w:t>bar, versión standard.</w:t>
            </w:r>
          </w:p>
          <w:p w:rsidR="0098705A" w:rsidRDefault="00DE4443">
            <w:pPr>
              <w:spacing w:after="0" w:line="240" w:lineRule="auto"/>
            </w:pPr>
            <w:r>
              <w:rPr>
                <w:rFonts w:ascii="Arial" w:hAnsi="Arial"/>
                <w:b/>
                <w:color w:val="000000"/>
                <w:sz w:val="17"/>
              </w:rPr>
              <w:t>Regulación de presión aguas abajo de 4 a 12 bar, bajo pedido.</w:t>
            </w:r>
          </w:p>
        </w:tc>
      </w:tr>
    </w:tbl>
    <w:p w:rsidR="0098705A" w:rsidRDefault="00DE4443">
      <w:pPr>
        <w:spacing w:before="240" w:after="0" w:line="240" w:lineRule="auto"/>
        <w:ind w:left="283" w:right="283"/>
      </w:pPr>
      <w:bookmarkStart w:id="5" w:name="d21e37"/>
      <w:bookmarkEnd w:id="2"/>
      <w:bookmarkEnd w:id="3"/>
      <w:r>
        <w:rPr>
          <w:rFonts w:ascii="Arial" w:hAnsi="Arial"/>
          <w:b/>
          <w:color w:val="0070C0"/>
          <w:sz w:val="24"/>
        </w:rPr>
        <w:t>Dimensiones y pesos</w:t>
      </w:r>
    </w:p>
    <w:bookmarkEnd w:id="5"/>
    <w:p w:rsidR="0098705A" w:rsidRDefault="0098705A">
      <w:pPr>
        <w:spacing w:after="0" w:line="240" w:lineRule="auto"/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before="170" w:after="0" w:line="240" w:lineRule="auto"/>
              <w:jc w:val="center"/>
            </w:pPr>
            <w:bookmarkStart w:id="6" w:name="d21e48"/>
            <w:bookmarkStart w:id="7" w:name="d21e46"/>
            <w:bookmarkStart w:id="8" w:name="d21e40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1980000" cy="2382257"/>
                  <wp:effectExtent l="0" t="0" r="0" b="0"/>
                  <wp:docPr id="3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38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6"/>
        <w:bookmarkEnd w:id="7"/>
      </w:tr>
    </w:tbl>
    <w:bookmarkEnd w:id="8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Versión standard para presión aguas abajo de 1,5 a 6 bar</w:t>
      </w:r>
    </w:p>
    <w:p w:rsidR="0098705A" w:rsidRDefault="0098705A">
      <w:pPr>
        <w:spacing w:after="0" w:line="240" w:lineRule="auto"/>
      </w:pPr>
    </w:p>
    <w:tbl>
      <w:tblPr>
        <w:tblW w:w="0" w:type="auto"/>
        <w:tblInd w:w="3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2"/>
        <w:gridCol w:w="1342"/>
        <w:gridCol w:w="1361"/>
        <w:gridCol w:w="1342"/>
        <w:gridCol w:w="1342"/>
        <w:gridCol w:w="1361"/>
        <w:gridCol w:w="1342"/>
        <w:gridCol w:w="1342"/>
      </w:tblGrid>
      <w:tr w:rsidR="0098705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keepNext/>
              <w:spacing w:after="0" w:line="240" w:lineRule="auto"/>
              <w:jc w:val="center"/>
            </w:pPr>
            <w:bookmarkStart w:id="9" w:name="RPRRL21REG275_table_0es"/>
            <w:r>
              <w:rPr>
                <w:rFonts w:ascii="Arial" w:hAnsi="Arial"/>
                <w:b/>
                <w:color w:val="000000"/>
                <w:sz w:val="17"/>
              </w:rPr>
              <w:t>DN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L</w:t>
            </w:r>
          </w:p>
        </w:tc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 xml:space="preserve">A </w:t>
            </w:r>
            <w:proofErr w:type="spellStart"/>
            <w:r>
              <w:rPr>
                <w:rFonts w:ascii="Arial" w:hAnsi="Arial"/>
                <w:b/>
                <w:color w:val="000000"/>
                <w:sz w:val="17"/>
              </w:rPr>
              <w:t>máx</w:t>
            </w:r>
            <w:proofErr w:type="spellEnd"/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d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h</w:t>
            </w:r>
          </w:p>
        </w:tc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Peso</w:t>
            </w:r>
          </w:p>
        </w:tc>
        <w:tc>
          <w:tcPr>
            <w:tcW w:w="1342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Referencias PN16</w:t>
            </w:r>
          </w:p>
        </w:tc>
        <w:tc>
          <w:tcPr>
            <w:tcW w:w="1342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Referencias PN25</w:t>
            </w:r>
          </w:p>
        </w:tc>
      </w:tr>
      <w:bookmarkEnd w:id="9"/>
      <w:tr w:rsidR="0098705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keepNext/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kg</w:t>
            </w:r>
          </w:p>
        </w:tc>
        <w:tc>
          <w:tcPr>
            <w:tcW w:w="1342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  <w:tc>
          <w:tcPr>
            <w:tcW w:w="1342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230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82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18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165834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165835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65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290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185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90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27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165872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165873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80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310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390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100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33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165911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162930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350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440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220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121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46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166907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162953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125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400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560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152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78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165986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162944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450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670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285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169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99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166029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166030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lastRenderedPageBreak/>
              <w:t>200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550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1050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340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234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191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166071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162949</w:t>
            </w:r>
          </w:p>
        </w:tc>
      </w:tr>
    </w:tbl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Instrucciones de montaje y mantenimiento: para DN50-100 – para DN125-200</w:t>
      </w:r>
    </w:p>
    <w:p w:rsidR="0098705A" w:rsidRDefault="00DE4443">
      <w:pPr>
        <w:keepLines/>
        <w:spacing w:before="240" w:after="0" w:line="240" w:lineRule="auto"/>
        <w:ind w:left="283" w:right="283"/>
        <w:jc w:val="both"/>
      </w:pPr>
      <w:bookmarkStart w:id="10" w:name="d21e147"/>
      <w:r>
        <w:rPr>
          <w:rFonts w:ascii="Arial" w:hAnsi="Arial"/>
          <w:b/>
          <w:color w:val="000000"/>
        </w:rPr>
        <w:t>Versión standard para presión aguas abajo de 2 a 8 bar</w:t>
      </w:r>
    </w:p>
    <w:bookmarkEnd w:id="10"/>
    <w:p w:rsidR="0098705A" w:rsidRDefault="0098705A">
      <w:pPr>
        <w:spacing w:after="0" w:line="240" w:lineRule="auto"/>
      </w:pPr>
    </w:p>
    <w:tbl>
      <w:tblPr>
        <w:tblW w:w="0" w:type="auto"/>
        <w:tblInd w:w="3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2"/>
        <w:gridCol w:w="1342"/>
        <w:gridCol w:w="1361"/>
        <w:gridCol w:w="1342"/>
        <w:gridCol w:w="1342"/>
        <w:gridCol w:w="1361"/>
        <w:gridCol w:w="1342"/>
        <w:gridCol w:w="1342"/>
      </w:tblGrid>
      <w:tr w:rsidR="0098705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keepNext/>
              <w:spacing w:after="0" w:line="240" w:lineRule="auto"/>
              <w:jc w:val="center"/>
            </w:pPr>
            <w:bookmarkStart w:id="11" w:name="RPRRL21REG275_table_1es"/>
            <w:r>
              <w:rPr>
                <w:rFonts w:ascii="Arial" w:hAnsi="Arial"/>
                <w:b/>
                <w:color w:val="000000"/>
                <w:sz w:val="17"/>
              </w:rPr>
              <w:t>DN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L</w:t>
            </w:r>
          </w:p>
        </w:tc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 xml:space="preserve">A </w:t>
            </w:r>
            <w:proofErr w:type="spellStart"/>
            <w:r>
              <w:rPr>
                <w:rFonts w:ascii="Arial" w:hAnsi="Arial"/>
                <w:b/>
                <w:color w:val="000000"/>
                <w:sz w:val="17"/>
              </w:rPr>
              <w:t>máx</w:t>
            </w:r>
            <w:proofErr w:type="spellEnd"/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d</w:t>
            </w:r>
          </w:p>
        </w:tc>
        <w:tc>
          <w:tcPr>
            <w:tcW w:w="13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h</w:t>
            </w:r>
          </w:p>
        </w:tc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Peso</w:t>
            </w:r>
          </w:p>
        </w:tc>
        <w:tc>
          <w:tcPr>
            <w:tcW w:w="1342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Referencias PN16</w:t>
            </w:r>
          </w:p>
        </w:tc>
        <w:tc>
          <w:tcPr>
            <w:tcW w:w="1342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Referencias PN25</w:t>
            </w:r>
          </w:p>
        </w:tc>
      </w:tr>
      <w:bookmarkEnd w:id="11"/>
      <w:tr w:rsidR="0098705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keepNext/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mm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i/>
                <w:color w:val="000000"/>
                <w:sz w:val="17"/>
              </w:rPr>
              <w:t>kg</w:t>
            </w:r>
          </w:p>
        </w:tc>
        <w:tc>
          <w:tcPr>
            <w:tcW w:w="1342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  <w:tc>
          <w:tcPr>
            <w:tcW w:w="1342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230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82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18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165837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165838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65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290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185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90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27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165874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165875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80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310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390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100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33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166906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165913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350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440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220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121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46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165953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165954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125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400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560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152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78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165989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165990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450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670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285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169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99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202151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166033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13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200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550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1050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340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234</w:t>
            </w:r>
          </w:p>
        </w:tc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191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166075</w:t>
            </w:r>
          </w:p>
        </w:tc>
        <w:tc>
          <w:tcPr>
            <w:tcW w:w="1342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202159</w:t>
            </w:r>
          </w:p>
        </w:tc>
      </w:tr>
    </w:tbl>
    <w:p w:rsidR="0098705A" w:rsidRDefault="00DE4443">
      <w:pPr>
        <w:spacing w:before="240" w:after="0" w:line="240" w:lineRule="auto"/>
        <w:ind w:left="283" w:right="283"/>
      </w:pPr>
      <w:bookmarkStart w:id="12" w:name="d21e242"/>
      <w:r>
        <w:rPr>
          <w:rFonts w:ascii="Arial" w:hAnsi="Arial"/>
          <w:b/>
          <w:color w:val="0070C0"/>
          <w:sz w:val="24"/>
        </w:rPr>
        <w:t>Materiales y revestimientos</w:t>
      </w:r>
    </w:p>
    <w:bookmarkEnd w:id="12"/>
    <w:p w:rsidR="0098705A" w:rsidRDefault="0098705A">
      <w:pPr>
        <w:spacing w:after="0" w:line="240" w:lineRule="auto"/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before="170" w:after="0" w:line="240" w:lineRule="auto"/>
              <w:jc w:val="center"/>
            </w:pPr>
            <w:bookmarkStart w:id="13" w:name="d21e253"/>
            <w:bookmarkStart w:id="14" w:name="d21e251"/>
            <w:bookmarkStart w:id="15" w:name="d21e245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2520000" cy="2355034"/>
                  <wp:effectExtent l="0" t="0" r="0" b="0"/>
                  <wp:docPr id="5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5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13"/>
        <w:bookmarkEnd w:id="14"/>
      </w:tr>
      <w:bookmarkEnd w:id="15"/>
    </w:tbl>
    <w:p w:rsidR="0098705A" w:rsidRDefault="0098705A">
      <w:pPr>
        <w:spacing w:after="0" w:line="240" w:lineRule="auto"/>
      </w:pPr>
    </w:p>
    <w:tbl>
      <w:tblPr>
        <w:tblW w:w="0" w:type="auto"/>
        <w:tblInd w:w="3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"/>
        <w:gridCol w:w="3020"/>
        <w:gridCol w:w="3020"/>
        <w:gridCol w:w="4027"/>
      </w:tblGrid>
      <w:tr w:rsidR="0098705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keepNext/>
              <w:spacing w:after="0" w:line="240" w:lineRule="auto"/>
              <w:jc w:val="center"/>
            </w:pPr>
            <w:bookmarkStart w:id="16" w:name="d21e256"/>
            <w:r>
              <w:rPr>
                <w:rFonts w:ascii="Arial" w:hAnsi="Arial"/>
                <w:b/>
                <w:color w:val="000000"/>
                <w:sz w:val="17"/>
              </w:rPr>
              <w:t>Ref.</w:t>
            </w:r>
          </w:p>
        </w:tc>
        <w:tc>
          <w:tcPr>
            <w:tcW w:w="30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Nombre</w:t>
            </w:r>
          </w:p>
        </w:tc>
        <w:tc>
          <w:tcPr>
            <w:tcW w:w="30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Material</w:t>
            </w:r>
          </w:p>
        </w:tc>
        <w:tc>
          <w:tcPr>
            <w:tcW w:w="40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Revestimiento</w:t>
            </w:r>
          </w:p>
        </w:tc>
      </w:tr>
      <w:bookmarkEnd w:id="16"/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Tapa</w:t>
            </w:r>
          </w:p>
        </w:tc>
        <w:tc>
          <w:tcPr>
            <w:tcW w:w="3020" w:type="dxa"/>
            <w:vMerge w:val="restart"/>
            <w:tcBorders>
              <w:right w:val="single" w:sz="6" w:space="0" w:color="000000"/>
            </w:tcBorders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Fundición EN-GJS-400-15 según EN1563</w:t>
            </w:r>
          </w:p>
        </w:tc>
        <w:tc>
          <w:tcPr>
            <w:tcW w:w="4027" w:type="dxa"/>
            <w:vMerge w:val="restart"/>
            <w:tcBorders>
              <w:right w:val="single" w:sz="6" w:space="0" w:color="000000"/>
            </w:tcBorders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Epoxi azul, espesor mínimo 250µm.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Cuerpo</w:t>
            </w:r>
          </w:p>
        </w:tc>
        <w:tc>
          <w:tcPr>
            <w:tcW w:w="3020" w:type="dxa"/>
            <w:vMerge/>
            <w:tcBorders>
              <w:bottom w:val="single" w:sz="6" w:space="0" w:color="000000"/>
              <w:right w:val="single" w:sz="6" w:space="0" w:color="000000"/>
            </w:tcBorders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  <w:tc>
          <w:tcPr>
            <w:tcW w:w="4027" w:type="dxa"/>
            <w:vMerge/>
            <w:tcBorders>
              <w:bottom w:val="single" w:sz="6" w:space="0" w:color="000000"/>
              <w:right w:val="single" w:sz="6" w:space="0" w:color="000000"/>
            </w:tcBorders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hAnsi="Arial"/>
                <w:color w:val="000000"/>
                <w:sz w:val="17"/>
              </w:rPr>
              <w:t>Clapeta</w:t>
            </w:r>
            <w:proofErr w:type="spellEnd"/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Latón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CW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 xml:space="preserve"> 612 N según EN 12164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Junta de la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clapeta</w:t>
            </w:r>
            <w:proofErr w:type="spellEnd"/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Nitrilo (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NBR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>)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Anillo guía de la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clapeta</w:t>
            </w:r>
            <w:proofErr w:type="spellEnd"/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Bronce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6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Juntas de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clapeta</w:t>
            </w:r>
            <w:proofErr w:type="spellEnd"/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Nitrilo (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NBR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>)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lastRenderedPageBreak/>
              <w:t>7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Tornillo de la tapa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Acero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inox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 xml:space="preserve"> X5CrNi18-10 según EN 10088-3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8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Muelle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Acero 55 Si 7 según EN 10132-4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Epoxi cataforesis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9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Tornillo de reglaje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Acero galvanizado Clase 4.8 según EN 20898-1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</w:tbl>
    <w:p w:rsidR="0098705A" w:rsidRDefault="0098705A">
      <w:pPr>
        <w:spacing w:after="0" w:line="240" w:lineRule="auto"/>
        <w:rPr>
          <w:sz w:val="24"/>
        </w:rPr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before="170" w:after="0" w:line="240" w:lineRule="auto"/>
              <w:jc w:val="center"/>
            </w:pPr>
            <w:bookmarkStart w:id="17" w:name="d21e354"/>
            <w:bookmarkStart w:id="18" w:name="d21e352"/>
            <w:bookmarkStart w:id="19" w:name="d21e346"/>
            <w:bookmarkStart w:id="20" w:name="d21e344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2520000" cy="2315214"/>
                  <wp:effectExtent l="0" t="0" r="0" b="0"/>
                  <wp:docPr id="7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1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31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17"/>
        <w:bookmarkEnd w:id="18"/>
      </w:tr>
      <w:bookmarkEnd w:id="19"/>
      <w:bookmarkEnd w:id="20"/>
    </w:tbl>
    <w:p w:rsidR="0098705A" w:rsidRDefault="0098705A">
      <w:pPr>
        <w:spacing w:after="0" w:line="240" w:lineRule="auto"/>
      </w:pPr>
    </w:p>
    <w:tbl>
      <w:tblPr>
        <w:tblW w:w="0" w:type="auto"/>
        <w:tblInd w:w="3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5"/>
        <w:gridCol w:w="3020"/>
        <w:gridCol w:w="3020"/>
        <w:gridCol w:w="4027"/>
      </w:tblGrid>
      <w:tr w:rsidR="0098705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keepNext/>
              <w:spacing w:after="0" w:line="240" w:lineRule="auto"/>
              <w:jc w:val="center"/>
            </w:pPr>
            <w:bookmarkStart w:id="21" w:name="d21e357"/>
            <w:proofErr w:type="spellStart"/>
            <w:r>
              <w:rPr>
                <w:rFonts w:ascii="Arial" w:hAnsi="Arial"/>
                <w:b/>
                <w:color w:val="000000"/>
                <w:sz w:val="17"/>
              </w:rPr>
              <w:t>Ref</w:t>
            </w:r>
            <w:proofErr w:type="spellEnd"/>
          </w:p>
        </w:tc>
        <w:tc>
          <w:tcPr>
            <w:tcW w:w="30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Nombre</w:t>
            </w:r>
          </w:p>
        </w:tc>
        <w:tc>
          <w:tcPr>
            <w:tcW w:w="30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Material</w:t>
            </w:r>
          </w:p>
        </w:tc>
        <w:tc>
          <w:tcPr>
            <w:tcW w:w="40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b/>
                <w:color w:val="000000"/>
                <w:sz w:val="17"/>
              </w:rPr>
              <w:t>Revestimiento</w:t>
            </w:r>
          </w:p>
        </w:tc>
      </w:tr>
      <w:bookmarkEnd w:id="21"/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1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Tapa</w:t>
            </w:r>
          </w:p>
        </w:tc>
        <w:tc>
          <w:tcPr>
            <w:tcW w:w="3020" w:type="dxa"/>
            <w:vMerge w:val="restart"/>
            <w:tcBorders>
              <w:right w:val="single" w:sz="6" w:space="0" w:color="000000"/>
            </w:tcBorders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Fundición EN-GJS-400-15 según EN1563</w:t>
            </w:r>
          </w:p>
        </w:tc>
        <w:tc>
          <w:tcPr>
            <w:tcW w:w="4027" w:type="dxa"/>
            <w:vMerge w:val="restart"/>
            <w:tcBorders>
              <w:right w:val="single" w:sz="6" w:space="0" w:color="000000"/>
            </w:tcBorders>
            <w:tcMar>
              <w:top w:w="40" w:type="dxa"/>
              <w:left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Epoxi azul, espesor mini 250µm.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2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Cuerpo</w:t>
            </w:r>
          </w:p>
        </w:tc>
        <w:tc>
          <w:tcPr>
            <w:tcW w:w="3020" w:type="dxa"/>
            <w:vMerge/>
            <w:tcBorders>
              <w:bottom w:val="single" w:sz="6" w:space="0" w:color="000000"/>
              <w:right w:val="single" w:sz="6" w:space="0" w:color="000000"/>
            </w:tcBorders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  <w:tc>
          <w:tcPr>
            <w:tcW w:w="4027" w:type="dxa"/>
            <w:vMerge/>
            <w:tcBorders>
              <w:bottom w:val="single" w:sz="6" w:space="0" w:color="000000"/>
              <w:right w:val="single" w:sz="6" w:space="0" w:color="000000"/>
            </w:tcBorders>
            <w:tcMar>
              <w:left w:w="40" w:type="dxa"/>
              <w:bottom w:w="40" w:type="dxa"/>
              <w:right w:w="40" w:type="dxa"/>
            </w:tcMar>
            <w:vAlign w:val="center"/>
          </w:tcPr>
          <w:p w:rsidR="0098705A" w:rsidRDefault="0098705A">
            <w:pPr>
              <w:spacing w:after="0" w:line="240" w:lineRule="auto"/>
            </w:pP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3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hAnsi="Arial"/>
                <w:color w:val="000000"/>
                <w:sz w:val="17"/>
              </w:rPr>
              <w:t>Clapeta</w:t>
            </w:r>
            <w:proofErr w:type="spellEnd"/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Acero galvanizado S235JR según EN 10025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4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Junta de la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clapeta</w:t>
            </w:r>
            <w:proofErr w:type="spellEnd"/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Nitrilo (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NBR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>)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5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proofErr w:type="spellStart"/>
            <w:r>
              <w:rPr>
                <w:rFonts w:ascii="Arial" w:hAnsi="Arial"/>
                <w:color w:val="000000"/>
                <w:sz w:val="17"/>
              </w:rPr>
              <w:t>Guias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 xml:space="preserve"> de la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clapeta</w:t>
            </w:r>
            <w:proofErr w:type="spellEnd"/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Bronce CuSn5Zn5Pb5-CC491K según EN 1982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6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Junta de </w:t>
            </w:r>
            <w:r>
              <w:rPr>
                <w:rFonts w:ascii="Arial" w:hAnsi="Arial"/>
                <w:color w:val="000000"/>
                <w:sz w:val="17"/>
              </w:rPr>
              <w:t>pistón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Nitrilo (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NBR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>)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7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Tornillos de la tapa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 xml:space="preserve">Acero </w:t>
            </w:r>
            <w:proofErr w:type="spellStart"/>
            <w:r>
              <w:rPr>
                <w:rFonts w:ascii="Arial" w:hAnsi="Arial"/>
                <w:color w:val="000000"/>
                <w:sz w:val="17"/>
              </w:rPr>
              <w:t>inox</w:t>
            </w:r>
            <w:proofErr w:type="spellEnd"/>
            <w:r>
              <w:rPr>
                <w:rFonts w:ascii="Arial" w:hAnsi="Arial"/>
                <w:color w:val="000000"/>
                <w:sz w:val="17"/>
              </w:rPr>
              <w:t xml:space="preserve"> X5CrNi18-10 según EN 10088-3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8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Muelle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Acero 55 Si 7 según EN 10132-4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Epoxi cataforesis</w:t>
            </w:r>
          </w:p>
        </w:tc>
      </w:tr>
      <w:tr w:rsidR="0098705A">
        <w:tblPrEx>
          <w:tblCellMar>
            <w:top w:w="0" w:type="dxa"/>
            <w:bottom w:w="0" w:type="dxa"/>
          </w:tblCellMar>
        </w:tblPrEx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9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Tornillo de reglaje</w:t>
            </w:r>
          </w:p>
        </w:tc>
        <w:tc>
          <w:tcPr>
            <w:tcW w:w="302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Acero galvanizado Clase 4.8 según EN 20898-1</w:t>
            </w:r>
          </w:p>
        </w:tc>
        <w:tc>
          <w:tcPr>
            <w:tcW w:w="40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after="0" w:line="240" w:lineRule="auto"/>
              <w:jc w:val="center"/>
            </w:pPr>
            <w:r>
              <w:rPr>
                <w:rFonts w:ascii="Arial" w:hAnsi="Arial"/>
                <w:color w:val="000000"/>
                <w:sz w:val="17"/>
              </w:rPr>
              <w:t> </w:t>
            </w:r>
          </w:p>
        </w:tc>
      </w:tr>
    </w:tbl>
    <w:p w:rsidR="0098705A" w:rsidRDefault="00DE4443">
      <w:pPr>
        <w:spacing w:before="240" w:after="0" w:line="240" w:lineRule="auto"/>
        <w:ind w:left="283" w:right="283"/>
      </w:pPr>
      <w:bookmarkStart w:id="22" w:name="d21e445"/>
      <w:r>
        <w:rPr>
          <w:rFonts w:ascii="Arial" w:hAnsi="Arial"/>
          <w:b/>
          <w:color w:val="0070C0"/>
          <w:sz w:val="24"/>
        </w:rPr>
        <w:t>Características de construcción</w:t>
      </w:r>
    </w:p>
    <w:bookmarkEnd w:id="22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Para </w:t>
      </w:r>
      <w:r>
        <w:rPr>
          <w:rFonts w:ascii="Arial" w:hAnsi="Arial"/>
          <w:color w:val="000000"/>
        </w:rPr>
        <w:t>los diámetros desde 125 a 200mm, la fabricación del regulador es diferente.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El aparato se suministra con 2 tomas de presión equipadas con llaves de paso de ¼ de pulgada.</w:t>
      </w:r>
    </w:p>
    <w:p w:rsidR="0098705A" w:rsidRDefault="00DE4443">
      <w:pPr>
        <w:spacing w:before="240" w:after="0" w:line="240" w:lineRule="auto"/>
        <w:ind w:left="283" w:right="283"/>
      </w:pPr>
      <w:bookmarkStart w:id="23" w:name="d21e450"/>
      <w:r>
        <w:rPr>
          <w:rFonts w:ascii="Arial" w:hAnsi="Arial"/>
          <w:b/>
          <w:color w:val="0070C0"/>
          <w:sz w:val="24"/>
        </w:rPr>
        <w:t>Características hidráulicas</w:t>
      </w:r>
    </w:p>
    <w:bookmarkEnd w:id="23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lastRenderedPageBreak/>
        <w:t>Elección del diámetro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Para elegir el DN óptimo de la válvu</w:t>
      </w:r>
      <w:r>
        <w:rPr>
          <w:rFonts w:ascii="Arial" w:hAnsi="Arial"/>
          <w:color w:val="000000"/>
        </w:rPr>
        <w:t>la se tendrá en cuenta que la velocidad en la misma no alcance un valor excesivo que pueda originar vibraciones, pérdidas de carga o daños por cavitación, esta velocidad es del orden de 1,5 m/s. También es conveniente que la válvula trabaje con una presión</w:t>
      </w:r>
      <w:r>
        <w:rPr>
          <w:rFonts w:ascii="Arial" w:hAnsi="Arial"/>
          <w:color w:val="000000"/>
        </w:rPr>
        <w:t xml:space="preserve"> aguas abajo situada en el centro del rango para la que está diseñada.</w:t>
      </w:r>
    </w:p>
    <w:p w:rsidR="0098705A" w:rsidRDefault="0098705A">
      <w:pPr>
        <w:spacing w:after="0" w:line="240" w:lineRule="auto"/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keepNext/>
              <w:spacing w:before="170" w:after="0" w:line="240" w:lineRule="auto"/>
              <w:jc w:val="center"/>
            </w:pPr>
            <w:bookmarkStart w:id="24" w:name="d21e462"/>
            <w:bookmarkStart w:id="25" w:name="d21e456"/>
            <w:r>
              <w:rPr>
                <w:rFonts w:ascii="Arial" w:hAnsi="Arial"/>
                <w:color w:val="000000"/>
                <w:sz w:val="16"/>
              </w:rPr>
              <w:t>Velocidad en m/s en abscisas y Caudal en l/s en ordenadas</w:t>
            </w:r>
          </w:p>
          <w:p w:rsidR="0098705A" w:rsidRDefault="00DE4443">
            <w:pPr>
              <w:spacing w:before="96" w:after="0" w:line="240" w:lineRule="auto"/>
              <w:jc w:val="center"/>
            </w:pPr>
            <w:bookmarkStart w:id="26" w:name="d21e464"/>
            <w:bookmarkEnd w:id="24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2880000" cy="1778059"/>
                  <wp:effectExtent l="0" t="0" r="0" b="0"/>
                  <wp:docPr id="9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2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7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26"/>
      </w:tr>
    </w:tbl>
    <w:bookmarkEnd w:id="25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Funcionamiento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La presión aguas abajo (</w:t>
      </w:r>
      <w:proofErr w:type="spellStart"/>
      <w:r>
        <w:rPr>
          <w:rFonts w:ascii="Arial" w:hAnsi="Arial"/>
          <w:color w:val="000000"/>
        </w:rPr>
        <w:t>Pv</w:t>
      </w:r>
      <w:proofErr w:type="spellEnd"/>
      <w:r>
        <w:rPr>
          <w:rFonts w:ascii="Arial" w:hAnsi="Arial"/>
          <w:color w:val="000000"/>
        </w:rPr>
        <w:t>) comunica a través del orificio (1) con la cámara y actúa también sobre el pistón</w:t>
      </w:r>
      <w:r>
        <w:rPr>
          <w:rFonts w:ascii="Arial" w:hAnsi="Arial"/>
          <w:color w:val="000000"/>
        </w:rPr>
        <w:t xml:space="preserve"> del obturador (2) contrarrestando el empuje del muelle (3). Cuando la presión aguas abajo alcanza el valor establecido, la fuerza del muelle (Fm) equilibra perfectamente la fuerza de la presión (</w:t>
      </w:r>
      <w:proofErr w:type="spellStart"/>
      <w:r>
        <w:rPr>
          <w:rFonts w:ascii="Arial" w:hAnsi="Arial"/>
          <w:color w:val="000000"/>
        </w:rPr>
        <w:t>Fp</w:t>
      </w:r>
      <w:proofErr w:type="spellEnd"/>
      <w:r>
        <w:rPr>
          <w:rFonts w:ascii="Arial" w:hAnsi="Arial"/>
          <w:color w:val="000000"/>
        </w:rPr>
        <w:t xml:space="preserve">). Si la presión aguas arriba (PM) sube, también tiende a </w:t>
      </w:r>
      <w:r>
        <w:rPr>
          <w:rFonts w:ascii="Arial" w:hAnsi="Arial"/>
          <w:color w:val="000000"/>
        </w:rPr>
        <w:t>subir la presión aguas abajo, pero en tal caso el muelle sufre un a compresión y el obturador tiende a cerrarse. Al aumentar la pérdida de carga, la presión aguas abajo vuelve rápidamente el valor de consigna.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Las pérdidas de carga se determinan con el grá</w:t>
      </w:r>
      <w:r>
        <w:rPr>
          <w:rFonts w:ascii="Arial" w:hAnsi="Arial"/>
          <w:color w:val="000000"/>
        </w:rPr>
        <w:t>fico siguiente:</w:t>
      </w:r>
    </w:p>
    <w:p w:rsidR="0098705A" w:rsidRDefault="0098705A">
      <w:pPr>
        <w:spacing w:after="0" w:line="240" w:lineRule="auto"/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before="170" w:after="0" w:line="240" w:lineRule="auto"/>
              <w:jc w:val="center"/>
            </w:pPr>
            <w:bookmarkStart w:id="27" w:name="d21e479"/>
            <w:bookmarkStart w:id="28" w:name="d21e477"/>
            <w:bookmarkStart w:id="29" w:name="d21e471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2880000" cy="2093363"/>
                  <wp:effectExtent l="0" t="0" r="0" b="0"/>
                  <wp:docPr id="11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9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27"/>
        <w:bookmarkEnd w:id="28"/>
      </w:tr>
    </w:tbl>
    <w:p w:rsidR="0098705A" w:rsidRDefault="00DE4443">
      <w:pPr>
        <w:spacing w:before="240" w:after="0" w:line="240" w:lineRule="auto"/>
        <w:ind w:left="283" w:right="283"/>
      </w:pPr>
      <w:bookmarkStart w:id="30" w:name="d21e482"/>
      <w:bookmarkEnd w:id="29"/>
      <w:r>
        <w:rPr>
          <w:rFonts w:ascii="Arial" w:hAnsi="Arial"/>
          <w:b/>
          <w:color w:val="0070C0"/>
          <w:sz w:val="24"/>
        </w:rPr>
        <w:t>Cavitación</w:t>
      </w:r>
    </w:p>
    <w:bookmarkEnd w:id="30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lastRenderedPageBreak/>
        <w:t>Para evitar todo riesgo de cavitación, es necesario verificar que no hay gran diferencial de presiones aguas arriba y aguas abajo.</w:t>
      </w:r>
    </w:p>
    <w:p w:rsidR="0098705A" w:rsidRDefault="0098705A">
      <w:pPr>
        <w:spacing w:after="0" w:line="240" w:lineRule="auto"/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before="170" w:after="0" w:line="240" w:lineRule="auto"/>
              <w:jc w:val="center"/>
            </w:pPr>
            <w:bookmarkStart w:id="31" w:name="d21e494"/>
            <w:bookmarkStart w:id="32" w:name="d21e492"/>
            <w:bookmarkStart w:id="33" w:name="d21e486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2880000" cy="3044964"/>
                  <wp:effectExtent l="0" t="0" r="0" b="0"/>
                  <wp:docPr id="13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04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31"/>
        <w:bookmarkEnd w:id="32"/>
      </w:tr>
    </w:tbl>
    <w:bookmarkEnd w:id="33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Entrando en el gráfico con el valor de la presión aguas arriba y el valor requerido para </w:t>
      </w:r>
      <w:r>
        <w:rPr>
          <w:rFonts w:ascii="Arial" w:hAnsi="Arial"/>
          <w:color w:val="000000"/>
        </w:rPr>
        <w:t>aguas abajo, es posible obtener tres situaciones diferentes:</w:t>
      </w:r>
    </w:p>
    <w:p w:rsidR="0098705A" w:rsidRDefault="00DE4443">
      <w:pPr>
        <w:keepLines/>
        <w:numPr>
          <w:ilvl w:val="0"/>
          <w:numId w:val="1"/>
        </w:numPr>
        <w:tabs>
          <w:tab w:val="left" w:pos="683"/>
        </w:tabs>
        <w:spacing w:before="200" w:after="0" w:line="240" w:lineRule="auto"/>
        <w:ind w:left="683" w:right="283" w:hanging="200"/>
        <w:jc w:val="both"/>
      </w:pPr>
      <w:bookmarkStart w:id="34" w:name="d21e499"/>
      <w:bookmarkStart w:id="35" w:name="d21e498"/>
      <w:r>
        <w:rPr>
          <w:rFonts w:ascii="Arial" w:hAnsi="Arial"/>
          <w:color w:val="000000"/>
        </w:rPr>
        <w:t>Zona de no cavitación</w:t>
      </w:r>
    </w:p>
    <w:p w:rsidR="0098705A" w:rsidRDefault="00DE4443">
      <w:pPr>
        <w:keepLines/>
        <w:numPr>
          <w:ilvl w:val="0"/>
          <w:numId w:val="1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36" w:name="d21e501"/>
      <w:bookmarkEnd w:id="34"/>
      <w:bookmarkEnd w:id="35"/>
      <w:r>
        <w:rPr>
          <w:rFonts w:ascii="Arial" w:hAnsi="Arial"/>
          <w:color w:val="000000"/>
        </w:rPr>
        <w:t xml:space="preserve">Zona transitoria: pueden darse problemas de cavitación. El funcionamiento es posible durante un corto periodo de tiempo </w:t>
      </w:r>
      <w:proofErr w:type="gramStart"/>
      <w:r>
        <w:rPr>
          <w:rFonts w:ascii="Arial" w:hAnsi="Arial"/>
          <w:color w:val="000000"/>
        </w:rPr>
        <w:t>o</w:t>
      </w:r>
      <w:proofErr w:type="gramEnd"/>
      <w:r>
        <w:rPr>
          <w:rFonts w:ascii="Arial" w:hAnsi="Arial"/>
          <w:color w:val="000000"/>
        </w:rPr>
        <w:t xml:space="preserve"> por el contrario, la válvula corre el riesgo de suf</w:t>
      </w:r>
      <w:r>
        <w:rPr>
          <w:rFonts w:ascii="Arial" w:hAnsi="Arial"/>
          <w:color w:val="000000"/>
        </w:rPr>
        <w:t>rir daños.</w:t>
      </w:r>
    </w:p>
    <w:p w:rsidR="0098705A" w:rsidRDefault="00DE4443">
      <w:pPr>
        <w:keepLines/>
        <w:numPr>
          <w:ilvl w:val="0"/>
          <w:numId w:val="1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37" w:name="d21e503"/>
      <w:bookmarkEnd w:id="36"/>
      <w:r>
        <w:rPr>
          <w:rFonts w:ascii="Arial" w:hAnsi="Arial"/>
          <w:color w:val="000000"/>
        </w:rPr>
        <w:t>Zona de cavitación: riesgo de daño rápido e importante en la válvula.</w:t>
      </w:r>
    </w:p>
    <w:p w:rsidR="0098705A" w:rsidRDefault="00DE4443">
      <w:pPr>
        <w:spacing w:before="240" w:after="0" w:line="240" w:lineRule="auto"/>
        <w:ind w:left="283" w:right="283"/>
      </w:pPr>
      <w:bookmarkStart w:id="38" w:name="d21e505"/>
      <w:bookmarkEnd w:id="37"/>
      <w:r>
        <w:rPr>
          <w:rFonts w:ascii="Arial" w:hAnsi="Arial"/>
          <w:b/>
          <w:color w:val="0070C0"/>
          <w:sz w:val="24"/>
        </w:rPr>
        <w:t>Conformidad con las normas</w:t>
      </w:r>
    </w:p>
    <w:bookmarkEnd w:id="38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Prueba hidráulica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Cada válvula se somete a una prueba hidráulica para verificar su conformidad con la </w:t>
      </w:r>
      <w:proofErr w:type="spellStart"/>
      <w:r>
        <w:rPr>
          <w:rFonts w:ascii="Arial" w:hAnsi="Arial"/>
          <w:color w:val="000000"/>
        </w:rPr>
        <w:t>norm</w:t>
      </w:r>
      <w:proofErr w:type="spellEnd"/>
      <w:r>
        <w:rPr>
          <w:rFonts w:ascii="Arial" w:hAnsi="Arial"/>
          <w:color w:val="000000"/>
        </w:rPr>
        <w:t xml:space="preserve"> EN 12266</w:t>
      </w:r>
    </w:p>
    <w:p w:rsidR="0098705A" w:rsidRDefault="00DE4443">
      <w:pPr>
        <w:keepLines/>
        <w:numPr>
          <w:ilvl w:val="0"/>
          <w:numId w:val="2"/>
        </w:numPr>
        <w:tabs>
          <w:tab w:val="left" w:pos="683"/>
        </w:tabs>
        <w:spacing w:before="200" w:after="0" w:line="240" w:lineRule="auto"/>
        <w:ind w:left="683" w:right="283" w:hanging="200"/>
        <w:jc w:val="both"/>
      </w:pPr>
      <w:bookmarkStart w:id="39" w:name="d21e512"/>
      <w:bookmarkStart w:id="40" w:name="d21e511"/>
      <w:r>
        <w:rPr>
          <w:rFonts w:ascii="Arial" w:hAnsi="Arial"/>
          <w:color w:val="000000"/>
        </w:rPr>
        <w:t xml:space="preserve">Cuerpo de la válvula a máximo </w:t>
      </w:r>
      <w:r>
        <w:rPr>
          <w:rFonts w:ascii="Arial" w:hAnsi="Arial"/>
          <w:color w:val="000000"/>
        </w:rPr>
        <w:t>1,5·PN; PEA (válvula abierta)</w:t>
      </w:r>
    </w:p>
    <w:p w:rsidR="0098705A" w:rsidRDefault="00DE4443">
      <w:pPr>
        <w:keepLines/>
        <w:numPr>
          <w:ilvl w:val="0"/>
          <w:numId w:val="2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41" w:name="d21e514"/>
      <w:bookmarkEnd w:id="39"/>
      <w:bookmarkEnd w:id="40"/>
      <w:r>
        <w:rPr>
          <w:rFonts w:ascii="Arial" w:hAnsi="Arial"/>
          <w:color w:val="000000"/>
        </w:rPr>
        <w:t>Asiento de la válvula a 1,1·PN (válvula cerrada).</w:t>
      </w:r>
    </w:p>
    <w:bookmarkEnd w:id="41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Conformidad del material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Control del revestimiento: espesor, test de impacto, </w:t>
      </w:r>
      <w:proofErr w:type="spellStart"/>
      <w:r>
        <w:rPr>
          <w:rFonts w:ascii="Arial" w:hAnsi="Arial"/>
          <w:color w:val="000000"/>
        </w:rPr>
        <w:t>MIBK</w:t>
      </w:r>
      <w:proofErr w:type="spellEnd"/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Normas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Ensayos en fábrica:</w:t>
      </w:r>
    </w:p>
    <w:p w:rsidR="0098705A" w:rsidRDefault="00DE4443">
      <w:pPr>
        <w:keepLines/>
        <w:numPr>
          <w:ilvl w:val="0"/>
          <w:numId w:val="3"/>
        </w:numPr>
        <w:tabs>
          <w:tab w:val="left" w:pos="683"/>
        </w:tabs>
        <w:spacing w:before="200" w:after="0" w:line="240" w:lineRule="auto"/>
        <w:ind w:left="683" w:right="283" w:hanging="200"/>
        <w:jc w:val="both"/>
      </w:pPr>
      <w:bookmarkStart w:id="42" w:name="d21e524"/>
      <w:bookmarkStart w:id="43" w:name="d21e523"/>
      <w:r>
        <w:rPr>
          <w:rFonts w:ascii="Arial" w:hAnsi="Arial"/>
          <w:color w:val="000000"/>
        </w:rPr>
        <w:lastRenderedPageBreak/>
        <w:t>EN 12266</w:t>
      </w:r>
    </w:p>
    <w:bookmarkEnd w:id="42"/>
    <w:bookmarkEnd w:id="43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Taladrado de las bridas:</w:t>
      </w:r>
    </w:p>
    <w:p w:rsidR="0098705A" w:rsidRDefault="00DE4443">
      <w:pPr>
        <w:keepLines/>
        <w:numPr>
          <w:ilvl w:val="0"/>
          <w:numId w:val="4"/>
        </w:numPr>
        <w:tabs>
          <w:tab w:val="left" w:pos="683"/>
        </w:tabs>
        <w:spacing w:before="200" w:after="0" w:line="240" w:lineRule="auto"/>
        <w:ind w:left="683" w:right="283" w:hanging="200"/>
        <w:jc w:val="both"/>
      </w:pPr>
      <w:bookmarkStart w:id="44" w:name="d21e529"/>
      <w:bookmarkStart w:id="45" w:name="d21e528"/>
      <w:r>
        <w:rPr>
          <w:rFonts w:ascii="Arial" w:hAnsi="Arial"/>
          <w:color w:val="000000"/>
        </w:rPr>
        <w:t>EN 1092-2</w:t>
      </w:r>
    </w:p>
    <w:p w:rsidR="0098705A" w:rsidRDefault="00DE4443">
      <w:pPr>
        <w:keepLines/>
        <w:numPr>
          <w:ilvl w:val="0"/>
          <w:numId w:val="4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46" w:name="d21e531"/>
      <w:bookmarkEnd w:id="44"/>
      <w:bookmarkEnd w:id="45"/>
      <w:r>
        <w:rPr>
          <w:rFonts w:ascii="Arial" w:hAnsi="Arial"/>
          <w:color w:val="000000"/>
        </w:rPr>
        <w:t>ISO 7005-2</w:t>
      </w:r>
    </w:p>
    <w:bookmarkEnd w:id="46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 xml:space="preserve">Distancia </w:t>
      </w:r>
      <w:r>
        <w:rPr>
          <w:rFonts w:ascii="Arial" w:hAnsi="Arial"/>
          <w:b/>
          <w:color w:val="000000"/>
        </w:rPr>
        <w:t xml:space="preserve">entre </w:t>
      </w:r>
      <w:proofErr w:type="gramStart"/>
      <w:r>
        <w:rPr>
          <w:rFonts w:ascii="Arial" w:hAnsi="Arial"/>
          <w:b/>
          <w:color w:val="000000"/>
        </w:rPr>
        <w:t>bridas :</w:t>
      </w:r>
      <w:proofErr w:type="gramEnd"/>
    </w:p>
    <w:p w:rsidR="0098705A" w:rsidRDefault="00DE4443">
      <w:pPr>
        <w:keepLines/>
        <w:numPr>
          <w:ilvl w:val="0"/>
          <w:numId w:val="5"/>
        </w:numPr>
        <w:tabs>
          <w:tab w:val="left" w:pos="683"/>
        </w:tabs>
        <w:spacing w:before="200" w:after="0" w:line="240" w:lineRule="auto"/>
        <w:ind w:left="683" w:right="283" w:hanging="200"/>
        <w:jc w:val="both"/>
      </w:pPr>
      <w:bookmarkStart w:id="47" w:name="d21e536"/>
      <w:bookmarkStart w:id="48" w:name="d21e535"/>
      <w:r>
        <w:rPr>
          <w:rFonts w:ascii="Arial" w:hAnsi="Arial"/>
          <w:color w:val="000000"/>
        </w:rPr>
        <w:t>ISO 5752-1 para DN50-125</w:t>
      </w:r>
    </w:p>
    <w:p w:rsidR="0098705A" w:rsidRDefault="00DE4443">
      <w:pPr>
        <w:keepLines/>
        <w:numPr>
          <w:ilvl w:val="0"/>
          <w:numId w:val="5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49" w:name="d21e538"/>
      <w:bookmarkEnd w:id="47"/>
      <w:bookmarkEnd w:id="48"/>
      <w:r>
        <w:rPr>
          <w:rFonts w:ascii="Arial" w:hAnsi="Arial"/>
          <w:color w:val="000000"/>
        </w:rPr>
        <w:t>EN 558 series 1 para DN50-125, series 26 para DN150-200</w:t>
      </w:r>
    </w:p>
    <w:bookmarkEnd w:id="49"/>
    <w:p w:rsidR="0098705A" w:rsidRDefault="00DE4443">
      <w:pPr>
        <w:keepLines/>
        <w:spacing w:before="200" w:after="0" w:line="240" w:lineRule="auto"/>
        <w:ind w:left="283" w:right="283"/>
        <w:jc w:val="both"/>
      </w:pPr>
      <w:proofErr w:type="spellStart"/>
      <w:proofErr w:type="gramStart"/>
      <w:r>
        <w:rPr>
          <w:rFonts w:ascii="Arial" w:hAnsi="Arial"/>
          <w:b/>
          <w:color w:val="000000"/>
        </w:rPr>
        <w:t>Alimentariedad</w:t>
      </w:r>
      <w:proofErr w:type="spellEnd"/>
      <w:r>
        <w:rPr>
          <w:rFonts w:ascii="Arial" w:hAnsi="Arial"/>
          <w:b/>
          <w:color w:val="000000"/>
        </w:rPr>
        <w:t xml:space="preserve"> :</w:t>
      </w:r>
      <w:proofErr w:type="gramEnd"/>
    </w:p>
    <w:p w:rsidR="0098705A" w:rsidRDefault="00DE4443">
      <w:pPr>
        <w:keepLines/>
        <w:numPr>
          <w:ilvl w:val="0"/>
          <w:numId w:val="6"/>
        </w:numPr>
        <w:tabs>
          <w:tab w:val="left" w:pos="683"/>
        </w:tabs>
        <w:spacing w:before="200" w:after="0" w:line="240" w:lineRule="auto"/>
        <w:ind w:left="683" w:right="283" w:hanging="200"/>
        <w:jc w:val="both"/>
      </w:pPr>
      <w:bookmarkStart w:id="50" w:name="d21e543"/>
      <w:bookmarkStart w:id="51" w:name="d21e542"/>
      <w:r>
        <w:rPr>
          <w:rFonts w:ascii="Arial" w:hAnsi="Arial"/>
          <w:color w:val="000000"/>
        </w:rPr>
        <w:t xml:space="preserve">D.M. 174/04 en partes aplicables (ex </w:t>
      </w:r>
      <w:proofErr w:type="spellStart"/>
      <w:r>
        <w:rPr>
          <w:rFonts w:ascii="Arial" w:hAnsi="Arial"/>
          <w:color w:val="000000"/>
        </w:rPr>
        <w:t>C.M</w:t>
      </w:r>
      <w:proofErr w:type="spellEnd"/>
      <w:r>
        <w:rPr>
          <w:rFonts w:ascii="Arial" w:hAnsi="Arial"/>
          <w:color w:val="000000"/>
        </w:rPr>
        <w:t>. 102 de 02/12/1978)</w:t>
      </w:r>
    </w:p>
    <w:p w:rsidR="0098705A" w:rsidRDefault="00DE4443">
      <w:pPr>
        <w:keepLines/>
        <w:numPr>
          <w:ilvl w:val="0"/>
          <w:numId w:val="6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52" w:name="d21e545"/>
      <w:bookmarkEnd w:id="50"/>
      <w:bookmarkEnd w:id="51"/>
      <w:r>
        <w:rPr>
          <w:rFonts w:ascii="Arial" w:hAnsi="Arial"/>
          <w:color w:val="000000"/>
        </w:rPr>
        <w:t xml:space="preserve">Conformidad con normas extranjeras: </w:t>
      </w:r>
      <w:proofErr w:type="spellStart"/>
      <w:r>
        <w:rPr>
          <w:rFonts w:ascii="Arial" w:hAnsi="Arial"/>
          <w:color w:val="000000"/>
        </w:rPr>
        <w:t>KTW</w:t>
      </w:r>
      <w:proofErr w:type="spellEnd"/>
      <w:r>
        <w:rPr>
          <w:rFonts w:ascii="Arial" w:hAnsi="Arial"/>
          <w:color w:val="000000"/>
        </w:rPr>
        <w:t xml:space="preserve"> (Alemania), </w:t>
      </w:r>
      <w:proofErr w:type="spellStart"/>
      <w:r>
        <w:rPr>
          <w:rFonts w:ascii="Arial" w:hAnsi="Arial"/>
          <w:color w:val="000000"/>
        </w:rPr>
        <w:t>WRC</w:t>
      </w:r>
      <w:proofErr w:type="spellEnd"/>
      <w:r>
        <w:rPr>
          <w:rFonts w:ascii="Arial" w:hAnsi="Arial"/>
          <w:color w:val="000000"/>
        </w:rPr>
        <w:t xml:space="preserve"> (</w:t>
      </w:r>
      <w:proofErr w:type="spellStart"/>
      <w:r>
        <w:rPr>
          <w:rFonts w:ascii="Arial" w:hAnsi="Arial"/>
          <w:color w:val="000000"/>
        </w:rPr>
        <w:t>U.K</w:t>
      </w:r>
      <w:proofErr w:type="spellEnd"/>
      <w:r>
        <w:rPr>
          <w:rFonts w:ascii="Arial" w:hAnsi="Arial"/>
          <w:color w:val="000000"/>
        </w:rPr>
        <w:t>.), ACS (Francia)</w:t>
      </w:r>
    </w:p>
    <w:bookmarkEnd w:id="52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Marcado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Etiqueta sobre la brida, </w:t>
      </w:r>
      <w:proofErr w:type="gramStart"/>
      <w:r>
        <w:rPr>
          <w:rFonts w:ascii="Arial" w:hAnsi="Arial"/>
          <w:color w:val="000000"/>
        </w:rPr>
        <w:t>ejemplo :</w:t>
      </w:r>
      <w:proofErr w:type="gramEnd"/>
    </w:p>
    <w:p w:rsidR="0098705A" w:rsidRDefault="0098705A">
      <w:pPr>
        <w:spacing w:after="0" w:line="240" w:lineRule="auto"/>
      </w:pPr>
    </w:p>
    <w:tbl>
      <w:tblPr>
        <w:tblW w:w="0" w:type="auto"/>
        <w:tblInd w:w="32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98705A">
        <w:tblPrEx>
          <w:tblCellMar>
            <w:top w:w="0" w:type="dxa"/>
            <w:bottom w:w="0" w:type="dxa"/>
          </w:tblCellMar>
        </w:tblPrEx>
        <w:tc>
          <w:tcPr>
            <w:tcW w:w="1077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98705A" w:rsidRDefault="00DE4443">
            <w:pPr>
              <w:spacing w:before="170" w:after="0" w:line="240" w:lineRule="auto"/>
              <w:jc w:val="center"/>
            </w:pPr>
            <w:bookmarkStart w:id="53" w:name="d21e558"/>
            <w:bookmarkStart w:id="54" w:name="d21e556"/>
            <w:bookmarkStart w:id="55" w:name="d21e550"/>
            <w:r>
              <w:rPr>
                <w:rFonts w:ascii="Arial" w:hAnsi="Arial"/>
                <w:noProof/>
                <w:color w:val="000000"/>
                <w:sz w:val="17"/>
                <w:lang w:val="es-CO"/>
              </w:rPr>
              <w:drawing>
                <wp:inline distT="0" distB="0" distL="0" distR="0">
                  <wp:extent cx="2170800" cy="108785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800" cy="10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53"/>
        <w:bookmarkEnd w:id="54"/>
      </w:tr>
    </w:tbl>
    <w:bookmarkEnd w:id="55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En el </w:t>
      </w:r>
      <w:proofErr w:type="gramStart"/>
      <w:r>
        <w:rPr>
          <w:rFonts w:ascii="Arial" w:hAnsi="Arial"/>
          <w:color w:val="000000"/>
        </w:rPr>
        <w:t>cuerpo :</w:t>
      </w:r>
      <w:proofErr w:type="gramEnd"/>
    </w:p>
    <w:p w:rsidR="0098705A" w:rsidRDefault="00DE4443">
      <w:pPr>
        <w:keepLines/>
        <w:numPr>
          <w:ilvl w:val="0"/>
          <w:numId w:val="7"/>
        </w:numPr>
        <w:tabs>
          <w:tab w:val="left" w:pos="683"/>
        </w:tabs>
        <w:spacing w:before="200" w:after="0" w:line="240" w:lineRule="auto"/>
        <w:ind w:left="683" w:right="283" w:hanging="200"/>
        <w:jc w:val="both"/>
      </w:pPr>
      <w:bookmarkStart w:id="56" w:name="d21e563"/>
      <w:bookmarkStart w:id="57" w:name="d21e562"/>
      <w:r>
        <w:rPr>
          <w:rFonts w:ascii="Arial" w:hAnsi="Arial"/>
          <w:color w:val="000000"/>
        </w:rPr>
        <w:t>Material: GGG40</w:t>
      </w:r>
    </w:p>
    <w:p w:rsidR="0098705A" w:rsidRDefault="00DE4443">
      <w:pPr>
        <w:keepLines/>
        <w:numPr>
          <w:ilvl w:val="0"/>
          <w:numId w:val="7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58" w:name="d21e565"/>
      <w:bookmarkEnd w:id="56"/>
      <w:bookmarkEnd w:id="57"/>
      <w:r>
        <w:rPr>
          <w:rFonts w:ascii="Arial" w:hAnsi="Arial"/>
          <w:color w:val="000000"/>
        </w:rPr>
        <w:t>Flecha indicadora del sentido del flujo</w:t>
      </w:r>
    </w:p>
    <w:p w:rsidR="0098705A" w:rsidRDefault="00DE4443">
      <w:pPr>
        <w:keepLines/>
        <w:numPr>
          <w:ilvl w:val="0"/>
          <w:numId w:val="7"/>
        </w:numPr>
        <w:tabs>
          <w:tab w:val="left" w:pos="683"/>
        </w:tabs>
        <w:spacing w:before="60" w:after="0" w:line="240" w:lineRule="auto"/>
        <w:ind w:left="683" w:right="283" w:hanging="200"/>
        <w:jc w:val="both"/>
      </w:pPr>
      <w:bookmarkStart w:id="59" w:name="d21e567"/>
      <w:bookmarkEnd w:id="58"/>
      <w:r>
        <w:rPr>
          <w:rFonts w:ascii="Arial" w:hAnsi="Arial"/>
          <w:color w:val="000000"/>
        </w:rPr>
        <w:t xml:space="preserve">Tipo de aparato: </w:t>
      </w:r>
      <w:proofErr w:type="spellStart"/>
      <w:r>
        <w:rPr>
          <w:rFonts w:ascii="Arial" w:hAnsi="Arial"/>
          <w:color w:val="000000"/>
        </w:rPr>
        <w:t>DRVD</w:t>
      </w:r>
      <w:proofErr w:type="spellEnd"/>
      <w:r>
        <w:rPr>
          <w:rFonts w:ascii="Arial" w:hAnsi="Arial"/>
          <w:color w:val="000000"/>
        </w:rPr>
        <w:t xml:space="preserve"> (DN)</w:t>
      </w:r>
    </w:p>
    <w:bookmarkEnd w:id="59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En la tapa: sentido para el reglaje de la presión aguas abajo</w:t>
      </w:r>
    </w:p>
    <w:p w:rsidR="0098705A" w:rsidRDefault="00DE4443">
      <w:pPr>
        <w:spacing w:before="240" w:after="0" w:line="240" w:lineRule="auto"/>
        <w:ind w:left="283" w:right="283"/>
      </w:pPr>
      <w:bookmarkStart w:id="60" w:name="d21e570"/>
      <w:r>
        <w:rPr>
          <w:rFonts w:ascii="Arial" w:hAnsi="Arial"/>
          <w:b/>
          <w:color w:val="0070C0"/>
          <w:sz w:val="24"/>
        </w:rPr>
        <w:t>Instrucciones de utilización</w:t>
      </w:r>
    </w:p>
    <w:bookmarkEnd w:id="60"/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Almacenamiento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La </w:t>
      </w:r>
      <w:r>
        <w:rPr>
          <w:rFonts w:ascii="Arial" w:hAnsi="Arial"/>
          <w:color w:val="000000"/>
        </w:rPr>
        <w:t>válvula debe ser almacenada, si es posible, en un entorno cubierto, protegida del sol, de la lluvia y demás factores atmosféricos. Además, debe evitarse que las juntas entren en contacto con el polvo.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Instalación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La válvula se puede instalar tanto vertical</w:t>
      </w:r>
      <w:r>
        <w:rPr>
          <w:rFonts w:ascii="Arial" w:hAnsi="Arial"/>
          <w:color w:val="000000"/>
        </w:rPr>
        <w:t xml:space="preserve"> como horizontal, aunque es preferible que su instalación sea como muestra la figura, prestando especial atención a la dirección del fluido (ver flecha indicativa en el cuerpo de la válvula).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lastRenderedPageBreak/>
        <w:t>Se recomienda una arqueta con acceso fácil, así como la instalac</w:t>
      </w:r>
      <w:r>
        <w:rPr>
          <w:rFonts w:ascii="Arial" w:hAnsi="Arial"/>
          <w:color w:val="000000"/>
        </w:rPr>
        <w:t xml:space="preserve">ión de dos válvulas de seccionamiento a ambos lados de la válvula </w:t>
      </w:r>
      <w:proofErr w:type="spellStart"/>
      <w:r>
        <w:rPr>
          <w:rFonts w:ascii="Arial" w:hAnsi="Arial"/>
          <w:color w:val="000000"/>
        </w:rPr>
        <w:t>DRVD</w:t>
      </w:r>
      <w:proofErr w:type="spellEnd"/>
      <w:r>
        <w:rPr>
          <w:rFonts w:ascii="Arial" w:hAnsi="Arial"/>
          <w:color w:val="000000"/>
        </w:rPr>
        <w:t>, un filtro aguas arriba y un purgador. De esta forma se conseguirá un rendimiento óptimo del regulador y un cómodo mantenimiento.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Para facilitar todas las operaciones de montaje y mante</w:t>
      </w:r>
      <w:r>
        <w:rPr>
          <w:rFonts w:ascii="Arial" w:hAnsi="Arial"/>
          <w:color w:val="000000"/>
        </w:rPr>
        <w:t>nimiento, es necesario instalar un carrete de desmontaje al lado de la válvula.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Tarado - Regulación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 xml:space="preserve">Desatornillar completamente el muelle, introducir agua al nivel máximo y cerrar la válvula de compuerta aguas abajo. En este caso el regulador de presión </w:t>
      </w:r>
      <w:proofErr w:type="spellStart"/>
      <w:r>
        <w:rPr>
          <w:rFonts w:ascii="Arial" w:hAnsi="Arial"/>
          <w:color w:val="000000"/>
        </w:rPr>
        <w:t>DR</w:t>
      </w:r>
      <w:r>
        <w:rPr>
          <w:rFonts w:ascii="Arial" w:hAnsi="Arial"/>
          <w:color w:val="000000"/>
        </w:rPr>
        <w:t>VD</w:t>
      </w:r>
      <w:proofErr w:type="spellEnd"/>
      <w:r>
        <w:rPr>
          <w:rFonts w:ascii="Arial" w:hAnsi="Arial"/>
          <w:color w:val="000000"/>
        </w:rPr>
        <w:t xml:space="preserve"> se cierra. Regular progresiva y lentamente el tornillo. En </w:t>
      </w:r>
      <w:proofErr w:type="gramStart"/>
      <w:r>
        <w:rPr>
          <w:rFonts w:ascii="Arial" w:hAnsi="Arial"/>
          <w:color w:val="000000"/>
        </w:rPr>
        <w:t>consecuencia</w:t>
      </w:r>
      <w:proofErr w:type="gramEnd"/>
      <w:r>
        <w:rPr>
          <w:rFonts w:ascii="Arial" w:hAnsi="Arial"/>
          <w:color w:val="000000"/>
        </w:rPr>
        <w:t xml:space="preserve"> la válvula se abre lentamente: mirar en el manómetro la presión aguas abajo hasta obtener el valor de consigna sin caudal.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b/>
          <w:color w:val="000000"/>
        </w:rPr>
        <w:t>Mantenimiento</w:t>
      </w:r>
    </w:p>
    <w:p w:rsidR="0098705A" w:rsidRDefault="00DE4443">
      <w:pPr>
        <w:keepLines/>
        <w:spacing w:before="200" w:after="0" w:line="240" w:lineRule="auto"/>
        <w:ind w:left="283" w:right="283"/>
        <w:jc w:val="both"/>
      </w:pPr>
      <w:r>
        <w:rPr>
          <w:rFonts w:ascii="Arial" w:hAnsi="Arial"/>
          <w:color w:val="000000"/>
        </w:rPr>
        <w:t>Una vez retirados los tornillos y desmontada</w:t>
      </w:r>
      <w:r>
        <w:rPr>
          <w:rFonts w:ascii="Arial" w:hAnsi="Arial"/>
          <w:color w:val="000000"/>
        </w:rPr>
        <w:t xml:space="preserve"> la parte superior e inferior, el obturador y las juntas de estanqueidad se pueden retirar fácilmente y sustituirse si fuera necesario, sin retirar el cuerpo de la válvula de la instalación. Todas las operaciones de mantenimiento deben efectuarse tras el v</w:t>
      </w:r>
      <w:r>
        <w:rPr>
          <w:rFonts w:ascii="Arial" w:hAnsi="Arial"/>
          <w:color w:val="000000"/>
        </w:rPr>
        <w:t>aciado de la canalización (sin caudal y sin presión).</w:t>
      </w:r>
    </w:p>
    <w:sectPr w:rsidR="0098705A" w:rsidSect="00833BC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2268" w:right="284" w:bottom="1474" w:left="284" w:header="567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443" w:rsidRDefault="00DE4443">
      <w:pPr>
        <w:spacing w:after="0" w:line="240" w:lineRule="auto"/>
      </w:pPr>
      <w:r>
        <w:separator/>
      </w:r>
    </w:p>
  </w:endnote>
  <w:endnote w:type="continuationSeparator" w:id="0">
    <w:p w:rsidR="00DE4443" w:rsidRDefault="00DE4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252"/>
      <w:gridCol w:w="2835"/>
      <w:gridCol w:w="4252"/>
    </w:tblGrid>
    <w:tr w:rsidR="0098705A">
      <w:tblPrEx>
        <w:tblCellMar>
          <w:top w:w="0" w:type="dxa"/>
          <w:bottom w:w="0" w:type="dxa"/>
        </w:tblCellMar>
      </w:tblPrEx>
      <w:tc>
        <w:tcPr>
          <w:tcW w:w="4252" w:type="dxa"/>
        </w:tcPr>
        <w:p w:rsidR="0098705A" w:rsidRDefault="00DE4443">
          <w:pPr>
            <w:pBdr>
              <w:bottom w:val="single" w:sz="8" w:space="0" w:color="707173"/>
            </w:pBdr>
            <w:spacing w:before="57" w:after="0" w:line="240" w:lineRule="auto"/>
          </w:pP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180000" cy="36000"/>
                <wp:effectExtent l="0" t="0" r="0" b="0"/>
                <wp:docPr id="4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5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/>
              <w:sz w:val="18"/>
            </w:rPr>
            <w:t>19/06/2019</w:t>
          </w:r>
        </w:p>
      </w:tc>
      <w:tc>
        <w:tcPr>
          <w:tcW w:w="2835" w:type="dxa"/>
        </w:tcPr>
        <w:p w:rsidR="0098705A" w:rsidRDefault="00DE4443">
          <w:pPr>
            <w:spacing w:after="0" w:line="240" w:lineRule="auto"/>
            <w:jc w:val="center"/>
          </w:pP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756000" cy="316111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6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" cy="316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:rsidR="0098705A" w:rsidRDefault="00DE4443">
          <w:pPr>
            <w:pBdr>
              <w:bottom w:val="single" w:sz="8" w:space="0" w:color="707173"/>
            </w:pBdr>
            <w:spacing w:after="0" w:line="240" w:lineRule="auto"/>
            <w:jc w:val="right"/>
          </w:pPr>
          <w:r>
            <w:rPr>
              <w:rFonts w:ascii="Arial" w:hAnsi="Arial"/>
              <w:color w:val="000000"/>
              <w:sz w:val="22"/>
            </w:rPr>
            <w:pgNum/>
          </w: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180000" cy="36000"/>
                <wp:effectExtent l="0" t="0" r="0" b="0"/>
                <wp:docPr id="8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7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252"/>
      <w:gridCol w:w="2835"/>
      <w:gridCol w:w="4252"/>
    </w:tblGrid>
    <w:tr w:rsidR="0098705A">
      <w:tblPrEx>
        <w:tblCellMar>
          <w:top w:w="0" w:type="dxa"/>
          <w:bottom w:w="0" w:type="dxa"/>
        </w:tblCellMar>
      </w:tblPrEx>
      <w:tc>
        <w:tcPr>
          <w:tcW w:w="4252" w:type="dxa"/>
        </w:tcPr>
        <w:p w:rsidR="0098705A" w:rsidRDefault="0098705A">
          <w:pPr>
            <w:pBdr>
              <w:bottom w:val="single" w:sz="8" w:space="0" w:color="707173"/>
            </w:pBdr>
            <w:spacing w:before="57" w:after="0" w:line="240" w:lineRule="auto"/>
          </w:pPr>
        </w:p>
      </w:tc>
      <w:tc>
        <w:tcPr>
          <w:tcW w:w="2835" w:type="dxa"/>
        </w:tcPr>
        <w:p w:rsidR="0098705A" w:rsidRDefault="00DE4443">
          <w:pPr>
            <w:spacing w:after="0" w:line="240" w:lineRule="auto"/>
            <w:jc w:val="center"/>
          </w:pP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756000" cy="316111"/>
                <wp:effectExtent l="0" t="0" r="0" b="0"/>
                <wp:docPr id="29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6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" cy="316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:rsidR="0098705A" w:rsidRDefault="00DE4443">
          <w:pPr>
            <w:pBdr>
              <w:bottom w:val="single" w:sz="8" w:space="0" w:color="707173"/>
            </w:pBdr>
            <w:spacing w:after="0" w:line="240" w:lineRule="auto"/>
            <w:jc w:val="right"/>
          </w:pPr>
          <w:r>
            <w:rPr>
              <w:rFonts w:ascii="Arial" w:hAnsi="Arial"/>
              <w:color w:val="000000"/>
              <w:sz w:val="22"/>
            </w:rPr>
            <w:pgNum/>
          </w: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180000" cy="36000"/>
                <wp:effectExtent l="0" t="0" r="0" b="0"/>
                <wp:docPr id="31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7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252"/>
      <w:gridCol w:w="2835"/>
      <w:gridCol w:w="4252"/>
    </w:tblGrid>
    <w:tr w:rsidR="0098705A">
      <w:tblPrEx>
        <w:tblCellMar>
          <w:top w:w="0" w:type="dxa"/>
          <w:bottom w:w="0" w:type="dxa"/>
        </w:tblCellMar>
      </w:tblPrEx>
      <w:tc>
        <w:tcPr>
          <w:tcW w:w="4252" w:type="dxa"/>
        </w:tcPr>
        <w:p w:rsidR="0098705A" w:rsidRDefault="00DE4443">
          <w:pPr>
            <w:pBdr>
              <w:bottom w:val="single" w:sz="8" w:space="0" w:color="707173"/>
            </w:pBdr>
            <w:spacing w:before="57" w:after="0" w:line="240" w:lineRule="auto"/>
          </w:pP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180000" cy="36000"/>
                <wp:effectExtent l="0" t="0" r="0" b="0"/>
                <wp:docPr id="21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/>
              <w:sz w:val="18"/>
            </w:rPr>
            <w:t>19/06/2019</w:t>
          </w:r>
        </w:p>
      </w:tc>
      <w:tc>
        <w:tcPr>
          <w:tcW w:w="2835" w:type="dxa"/>
        </w:tcPr>
        <w:p w:rsidR="0098705A" w:rsidRDefault="00DE4443">
          <w:pPr>
            <w:spacing w:after="0" w:line="240" w:lineRule="auto"/>
            <w:jc w:val="center"/>
          </w:pP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756000" cy="316111"/>
                <wp:effectExtent l="0" t="0" r="0" b="0"/>
                <wp:docPr id="2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3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" cy="316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:rsidR="0098705A" w:rsidRDefault="00DE4443">
          <w:pPr>
            <w:pBdr>
              <w:bottom w:val="single" w:sz="8" w:space="0" w:color="707173"/>
            </w:pBdr>
            <w:spacing w:after="0" w:line="240" w:lineRule="auto"/>
            <w:jc w:val="right"/>
          </w:pPr>
          <w:r>
            <w:rPr>
              <w:rFonts w:ascii="Arial" w:hAnsi="Arial"/>
              <w:color w:val="000000"/>
              <w:sz w:val="22"/>
            </w:rPr>
            <w:pgNum/>
          </w:r>
          <w:r>
            <w:rPr>
              <w:rFonts w:ascii="Arial" w:hAnsi="Arial"/>
              <w:noProof/>
              <w:color w:val="000000"/>
              <w:sz w:val="18"/>
              <w:lang w:val="es-CO"/>
            </w:rPr>
            <w:drawing>
              <wp:inline distT="0" distB="0" distL="0" distR="0">
                <wp:extent cx="180000" cy="36000"/>
                <wp:effectExtent l="0" t="0" r="0" b="0"/>
                <wp:docPr id="25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4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443" w:rsidRDefault="00DE4443">
      <w:pPr>
        <w:spacing w:after="0" w:line="240" w:lineRule="auto"/>
      </w:pPr>
      <w:r>
        <w:separator/>
      </w:r>
    </w:p>
  </w:footnote>
  <w:footnote w:type="continuationSeparator" w:id="0">
    <w:p w:rsidR="00DE4443" w:rsidRDefault="00DE4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189" w:rsidRDefault="00C64189" w:rsidP="00C64189">
    <w:pPr>
      <w:pStyle w:val="Header"/>
      <w:jc w:val="center"/>
    </w:pPr>
    <w:r>
      <w:t xml:space="preserve"> </w:t>
    </w:r>
  </w:p>
  <w:tbl>
    <w:tblPr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232"/>
      <w:gridCol w:w="3188"/>
      <w:gridCol w:w="4232"/>
    </w:tblGrid>
    <w:tr w:rsidR="00C64189" w:rsidTr="00F56007">
      <w:tc>
        <w:tcPr>
          <w:tcW w:w="1816" w:type="pct"/>
          <w:tcBorders>
            <w:top w:val="single" w:sz="8" w:space="0" w:color="707173"/>
            <w:left w:val="single" w:sz="8" w:space="0" w:color="707173"/>
            <w:bottom w:val="single" w:sz="8" w:space="0" w:color="707173"/>
            <w:right w:val="single" w:sz="8" w:space="0" w:color="707173"/>
          </w:tcBorders>
          <w:vAlign w:val="center"/>
        </w:tcPr>
        <w:p w:rsidR="00C64189" w:rsidRPr="00C64189" w:rsidRDefault="00C64189" w:rsidP="00C64189">
          <w:pPr>
            <w:jc w:val="center"/>
            <w:rPr>
              <w:rFonts w:ascii="Arial" w:hAnsi="Arial" w:cs="Arial"/>
              <w:b/>
              <w:color w:val="4D7EB9"/>
              <w:sz w:val="24"/>
              <w:szCs w:val="24"/>
              <w:lang w:val="es-CO"/>
            </w:rPr>
          </w:pPr>
          <w:r w:rsidRPr="00C64189">
            <w:rPr>
              <w:rFonts w:ascii="Arial" w:hAnsi="Arial" w:cs="Arial"/>
              <w:b/>
              <w:color w:val="4D7EB9"/>
              <w:sz w:val="24"/>
              <w:szCs w:val="24"/>
              <w:lang w:val="es-CO"/>
            </w:rPr>
            <w:t>VÁLVULAS DE CONTROL</w:t>
          </w:r>
        </w:p>
        <w:p w:rsidR="00C64189" w:rsidRPr="001643F9" w:rsidRDefault="00C64189" w:rsidP="00C64189">
          <w:pPr>
            <w:jc w:val="center"/>
            <w:rPr>
              <w:b/>
            </w:rPr>
          </w:pPr>
          <w:r w:rsidRPr="00C64189">
            <w:rPr>
              <w:rFonts w:ascii="Arial" w:hAnsi="Arial"/>
              <w:b/>
              <w:color w:val="000000"/>
              <w:sz w:val="24"/>
              <w:szCs w:val="24"/>
            </w:rPr>
            <w:t xml:space="preserve">DN 50 a </w:t>
          </w:r>
          <w:r w:rsidRPr="00C64189">
            <w:rPr>
              <w:rFonts w:ascii="Arial" w:hAnsi="Arial"/>
              <w:b/>
              <w:color w:val="000000"/>
              <w:sz w:val="24"/>
              <w:szCs w:val="24"/>
            </w:rPr>
            <w:t>2</w:t>
          </w:r>
          <w:r w:rsidRPr="00C64189">
            <w:rPr>
              <w:rFonts w:ascii="Arial" w:hAnsi="Arial"/>
              <w:b/>
              <w:color w:val="000000"/>
              <w:sz w:val="24"/>
              <w:szCs w:val="24"/>
            </w:rPr>
            <w:t>00 mm</w:t>
          </w:r>
        </w:p>
      </w:tc>
      <w:tc>
        <w:tcPr>
          <w:tcW w:w="1368" w:type="pct"/>
          <w:tcBorders>
            <w:top w:val="single" w:sz="8" w:space="0" w:color="707173"/>
            <w:left w:val="single" w:sz="8" w:space="0" w:color="707173"/>
            <w:bottom w:val="single" w:sz="8" w:space="0" w:color="707173"/>
            <w:right w:val="single" w:sz="8" w:space="0" w:color="707173"/>
          </w:tcBorders>
          <w:tcMar>
            <w:top w:w="227" w:type="dxa"/>
            <w:bottom w:w="227" w:type="dxa"/>
          </w:tcMar>
          <w:vAlign w:val="center"/>
        </w:tcPr>
        <w:p w:rsidR="00C64189" w:rsidRDefault="00C64189" w:rsidP="00C64189">
          <w:pPr>
            <w:jc w:val="center"/>
          </w:pPr>
          <w:r w:rsidRPr="00C06F2E">
            <w:rPr>
              <w:rFonts w:ascii="Arial" w:hAnsi="Arial"/>
              <w:noProof/>
              <w:color w:val="000000"/>
              <w:lang w:val="es-CO"/>
            </w:rPr>
            <w:drawing>
              <wp:inline distT="0" distB="0" distL="0" distR="0" wp14:anchorId="3992848C" wp14:editId="44F3B1C5">
                <wp:extent cx="1476375" cy="533400"/>
                <wp:effectExtent l="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6" w:type="pct"/>
          <w:tcBorders>
            <w:top w:val="single" w:sz="8" w:space="0" w:color="707173"/>
            <w:left w:val="single" w:sz="8" w:space="0" w:color="707173"/>
            <w:bottom w:val="single" w:sz="8" w:space="0" w:color="707173"/>
            <w:right w:val="single" w:sz="8" w:space="0" w:color="707173"/>
          </w:tcBorders>
          <w:vAlign w:val="center"/>
        </w:tcPr>
        <w:p w:rsidR="00C64189" w:rsidRDefault="00C64189" w:rsidP="00C64189">
          <w:pPr>
            <w:jc w:val="center"/>
          </w:pPr>
          <w:r>
            <w:rPr>
              <w:rFonts w:ascii="Arial" w:hAnsi="Arial"/>
              <w:color w:val="000000"/>
            </w:rPr>
            <w:t>17/08/2021</w:t>
          </w:r>
        </w:p>
        <w:p w:rsidR="00C64189" w:rsidRDefault="00C64189" w:rsidP="00C64189">
          <w:pPr>
            <w:pBdr>
              <w:top w:val="single" w:sz="8" w:space="11" w:color="707173"/>
            </w:pBdr>
            <w:spacing w:before="170"/>
            <w:jc w:val="center"/>
          </w:pPr>
          <w:r w:rsidRPr="00C64189">
            <w:rPr>
              <w:rFonts w:ascii="Arial" w:hAnsi="Arial"/>
              <w:b/>
              <w:color w:val="000000"/>
            </w:rPr>
            <w:t xml:space="preserve">Regulador de presión de acción directa Tipo </w:t>
          </w:r>
          <w:proofErr w:type="spellStart"/>
          <w:r w:rsidRPr="00C64189">
            <w:rPr>
              <w:rFonts w:ascii="Arial" w:hAnsi="Arial"/>
              <w:b/>
              <w:color w:val="000000"/>
            </w:rPr>
            <w:t>DRVD</w:t>
          </w:r>
          <w:proofErr w:type="spellEnd"/>
        </w:p>
      </w:tc>
    </w:tr>
  </w:tbl>
  <w:p w:rsidR="00C64189" w:rsidRPr="00C64189" w:rsidRDefault="00C64189" w:rsidP="00C64189">
    <w:pPr>
      <w:pStyle w:val="Header"/>
      <w:jc w:val="center"/>
      <w:rPr>
        <w:lang w:val="es-C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8"/>
    <w:multiLevelType w:val="singleLevel"/>
    <w:tmpl w:val="AB623E92"/>
    <w:lvl w:ilvl="0">
      <w:start w:val="1"/>
      <w:numFmt w:val="bullet"/>
      <w:lvlText w:val="•"/>
      <w:lvlJc w:val="left"/>
      <w:rPr>
        <w:rFonts w:ascii="Arial" w:hAnsi="Arial"/>
        <w:color w:val="000000"/>
        <w:sz w:val="20"/>
      </w:rPr>
    </w:lvl>
  </w:abstractNum>
  <w:abstractNum w:abstractNumId="1" w15:restartNumberingAfterBreak="0">
    <w:nsid w:val="FFFFFFF9"/>
    <w:multiLevelType w:val="singleLevel"/>
    <w:tmpl w:val="8EBE8B70"/>
    <w:lvl w:ilvl="0">
      <w:start w:val="1"/>
      <w:numFmt w:val="bullet"/>
      <w:lvlText w:val="•"/>
      <w:lvlJc w:val="left"/>
      <w:rPr>
        <w:rFonts w:ascii="Arial" w:hAnsi="Arial"/>
        <w:color w:val="000000"/>
        <w:sz w:val="20"/>
      </w:rPr>
    </w:lvl>
  </w:abstractNum>
  <w:abstractNum w:abstractNumId="2" w15:restartNumberingAfterBreak="0">
    <w:nsid w:val="FFFFFFFA"/>
    <w:multiLevelType w:val="singleLevel"/>
    <w:tmpl w:val="2C7E66AE"/>
    <w:lvl w:ilvl="0">
      <w:start w:val="1"/>
      <w:numFmt w:val="bullet"/>
      <w:lvlText w:val="•"/>
      <w:lvlJc w:val="left"/>
      <w:rPr>
        <w:rFonts w:ascii="Arial" w:hAnsi="Arial"/>
        <w:color w:val="000000"/>
        <w:sz w:val="20"/>
      </w:rPr>
    </w:lvl>
  </w:abstractNum>
  <w:abstractNum w:abstractNumId="3" w15:restartNumberingAfterBreak="0">
    <w:nsid w:val="FFFFFFFB"/>
    <w:multiLevelType w:val="singleLevel"/>
    <w:tmpl w:val="4A226528"/>
    <w:lvl w:ilvl="0">
      <w:start w:val="1"/>
      <w:numFmt w:val="bullet"/>
      <w:lvlText w:val="•"/>
      <w:lvlJc w:val="left"/>
      <w:rPr>
        <w:rFonts w:ascii="Arial" w:hAnsi="Arial"/>
        <w:color w:val="000000"/>
        <w:sz w:val="20"/>
      </w:rPr>
    </w:lvl>
  </w:abstractNum>
  <w:abstractNum w:abstractNumId="4" w15:restartNumberingAfterBreak="0">
    <w:nsid w:val="FFFFFFFC"/>
    <w:multiLevelType w:val="singleLevel"/>
    <w:tmpl w:val="1C8C6EAC"/>
    <w:lvl w:ilvl="0">
      <w:start w:val="1"/>
      <w:numFmt w:val="bullet"/>
      <w:lvlText w:val="•"/>
      <w:lvlJc w:val="left"/>
      <w:rPr>
        <w:rFonts w:ascii="Arial" w:hAnsi="Arial"/>
        <w:color w:val="000000"/>
        <w:sz w:val="20"/>
      </w:rPr>
    </w:lvl>
  </w:abstractNum>
  <w:abstractNum w:abstractNumId="5" w15:restartNumberingAfterBreak="0">
    <w:nsid w:val="FFFFFFFD"/>
    <w:multiLevelType w:val="singleLevel"/>
    <w:tmpl w:val="34D65250"/>
    <w:lvl w:ilvl="0">
      <w:start w:val="1"/>
      <w:numFmt w:val="bullet"/>
      <w:lvlText w:val="•"/>
      <w:lvlJc w:val="left"/>
      <w:rPr>
        <w:rFonts w:ascii="Arial" w:hAnsi="Arial"/>
        <w:color w:val="000000"/>
        <w:sz w:val="20"/>
      </w:rPr>
    </w:lvl>
  </w:abstractNum>
  <w:abstractNum w:abstractNumId="6" w15:restartNumberingAfterBreak="0">
    <w:nsid w:val="FFFFFFFE"/>
    <w:multiLevelType w:val="singleLevel"/>
    <w:tmpl w:val="8E54C5EA"/>
    <w:lvl w:ilvl="0">
      <w:start w:val="1"/>
      <w:numFmt w:val="bullet"/>
      <w:lvlText w:val="•"/>
      <w:lvlJc w:val="left"/>
      <w:rPr>
        <w:rFonts w:ascii="Arial" w:hAnsi="Arial"/>
        <w:color w:val="000000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5A"/>
    <w:rsid w:val="00833BCF"/>
    <w:rsid w:val="0098705A"/>
    <w:rsid w:val="00C64189"/>
    <w:rsid w:val="00DE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7B7BD"/>
  <w15:docId w15:val="{0E134841-F7B2-4A70-8FC6-470FDFEB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18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64189"/>
    <w:rPr>
      <w:rFonts w:asciiTheme="minorHAnsi" w:eastAsiaTheme="minorEastAsia" w:hAnsi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1061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Contreras, Alexander</cp:lastModifiedBy>
  <cp:revision>3</cp:revision>
  <dcterms:created xsi:type="dcterms:W3CDTF">2021-08-23T02:54:00Z</dcterms:created>
  <dcterms:modified xsi:type="dcterms:W3CDTF">2021-08-23T03:03:00Z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2021-08-23T02:54:44Z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afcd0c12-527c-4279-b735-767d8c923200</vt:lpwstr>
  </property>
  <property fmtid="{D5CDD505-2E9C-101B-9397-08002B2CF9AE}" pid="8" name="MSIP_Label_ced06422-c515-4a4e-a1f2-e6a0c0200eae_ContentBits">
    <vt:lpwstr>0</vt:lpwstr>
  </property>
</Properties>
</file>